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07" w:rsidRPr="00BD59CE" w:rsidRDefault="0012710F">
      <w:pPr>
        <w:jc w:val="center"/>
        <w:rPr>
          <w:b/>
          <w:i/>
        </w:rPr>
      </w:pPr>
      <w:r w:rsidRPr="00BD59CE">
        <w:rPr>
          <w:b/>
        </w:rPr>
        <w:t xml:space="preserve">Lei Orçamentária Anual </w:t>
      </w:r>
      <w:r w:rsidR="006C369C">
        <w:rPr>
          <w:b/>
        </w:rPr>
        <w:t>201</w:t>
      </w:r>
      <w:r w:rsidR="00336BE9">
        <w:rPr>
          <w:b/>
        </w:rPr>
        <w:t>5</w:t>
      </w:r>
    </w:p>
    <w:p w:rsidR="007D5DBC" w:rsidRPr="00EA77C4" w:rsidRDefault="0012710F">
      <w:pPr>
        <w:jc w:val="center"/>
        <w:rPr>
          <w:b/>
          <w:i/>
          <w:sz w:val="28"/>
          <w:szCs w:val="28"/>
          <w:u w:val="single"/>
        </w:rPr>
      </w:pPr>
      <w:r w:rsidRPr="00BD59CE">
        <w:rPr>
          <w:b/>
        </w:rPr>
        <w:t>LOA</w:t>
      </w:r>
      <w:r w:rsidR="00952A07" w:rsidRPr="00BD59CE">
        <w:rPr>
          <w:b/>
        </w:rPr>
        <w:br/>
        <w:t xml:space="preserve"> </w:t>
      </w:r>
      <w:r w:rsidR="00336BE9">
        <w:rPr>
          <w:b/>
        </w:rPr>
        <w:t>2015</w:t>
      </w:r>
      <w:r w:rsidR="007E2E21" w:rsidRPr="00BD59CE">
        <w:rPr>
          <w:b/>
        </w:rPr>
        <w:br/>
      </w:r>
      <w:r w:rsidR="00EA77C4" w:rsidRPr="00EA77C4">
        <w:rPr>
          <w:b/>
          <w:i/>
          <w:sz w:val="28"/>
          <w:szCs w:val="28"/>
          <w:u w:val="single"/>
        </w:rPr>
        <w:t>Construindo um Futuro M</w:t>
      </w:r>
      <w:r w:rsidR="006C369C" w:rsidRPr="00EA77C4">
        <w:rPr>
          <w:b/>
          <w:i/>
          <w:sz w:val="28"/>
          <w:szCs w:val="28"/>
          <w:u w:val="single"/>
        </w:rPr>
        <w:t>elhor</w:t>
      </w:r>
      <w:r w:rsidR="000170C1">
        <w:rPr>
          <w:b/>
          <w:i/>
          <w:sz w:val="28"/>
          <w:szCs w:val="28"/>
          <w:u w:val="single"/>
        </w:rPr>
        <w:t>.</w:t>
      </w:r>
    </w:p>
    <w:p w:rsidR="0012710F" w:rsidRPr="00BD59CE" w:rsidRDefault="007D5DBC">
      <w:pPr>
        <w:jc w:val="center"/>
        <w:rPr>
          <w:b/>
          <w:i/>
        </w:rPr>
      </w:pPr>
      <w:r w:rsidRPr="00BD59CE">
        <w:rPr>
          <w:b/>
          <w:i/>
        </w:rPr>
        <w:t>Elaboração Planejamento:</w:t>
      </w:r>
      <w:r w:rsidR="0012710F" w:rsidRPr="00BD59CE">
        <w:rPr>
          <w:b/>
          <w:i/>
        </w:rPr>
        <w:br/>
      </w:r>
      <w:r w:rsidRPr="00BD59CE">
        <w:rPr>
          <w:b/>
          <w:i/>
        </w:rPr>
        <w:br/>
      </w:r>
      <w:r w:rsidR="0012710F" w:rsidRPr="00BD59CE">
        <w:rPr>
          <w:b/>
          <w:i/>
        </w:rPr>
        <w:t>Secretaria Municipal de Administração</w:t>
      </w:r>
      <w:r w:rsidR="0012710F" w:rsidRPr="00BD59CE">
        <w:rPr>
          <w:b/>
          <w:i/>
        </w:rPr>
        <w:br/>
        <w:t>Secretaria Municipal da Fazenda</w:t>
      </w:r>
      <w:r w:rsidR="0012710F" w:rsidRPr="00BD59CE">
        <w:rPr>
          <w:b/>
          <w:i/>
        </w:rPr>
        <w:br/>
        <w:t xml:space="preserve"> </w:t>
      </w:r>
    </w:p>
    <w:p w:rsidR="007D5DBC" w:rsidRPr="00BD59CE" w:rsidRDefault="0012710F">
      <w:pPr>
        <w:jc w:val="center"/>
        <w:rPr>
          <w:b/>
          <w:i/>
        </w:rPr>
      </w:pPr>
      <w:r w:rsidRPr="00BD59CE">
        <w:rPr>
          <w:b/>
          <w:i/>
        </w:rPr>
        <w:t>Apoio Técnico:</w:t>
      </w:r>
      <w:r w:rsidRPr="00BD59CE">
        <w:rPr>
          <w:b/>
          <w:i/>
        </w:rPr>
        <w:br/>
      </w:r>
      <w:r w:rsidR="008B4280" w:rsidRPr="00BD59CE">
        <w:rPr>
          <w:b/>
          <w:i/>
        </w:rPr>
        <w:br/>
      </w:r>
      <w:proofErr w:type="spellStart"/>
      <w:r w:rsidR="009C58B1" w:rsidRPr="00BD59CE">
        <w:rPr>
          <w:b/>
          <w:i/>
        </w:rPr>
        <w:t>Sonimar</w:t>
      </w:r>
      <w:proofErr w:type="spellEnd"/>
      <w:r w:rsidR="009C58B1" w:rsidRPr="00BD59CE">
        <w:rPr>
          <w:b/>
          <w:i/>
        </w:rPr>
        <w:t xml:space="preserve"> José </w:t>
      </w:r>
      <w:proofErr w:type="spellStart"/>
      <w:r w:rsidR="009C58B1" w:rsidRPr="00BD59CE">
        <w:rPr>
          <w:b/>
          <w:i/>
        </w:rPr>
        <w:t>Reinher</w:t>
      </w:r>
      <w:proofErr w:type="spellEnd"/>
      <w:r w:rsidR="008B4280" w:rsidRPr="00BD59CE">
        <w:rPr>
          <w:b/>
          <w:i/>
        </w:rPr>
        <w:br/>
      </w:r>
      <w:r w:rsidR="007A241A">
        <w:rPr>
          <w:b/>
          <w:i/>
        </w:rPr>
        <w:t>Procurador</w:t>
      </w:r>
      <w:r w:rsidR="008B4280" w:rsidRPr="00BD59CE">
        <w:rPr>
          <w:b/>
          <w:i/>
        </w:rPr>
        <w:t xml:space="preserve"> Jurídico</w:t>
      </w:r>
      <w:r w:rsidRPr="00BD59CE">
        <w:rPr>
          <w:b/>
          <w:i/>
        </w:rPr>
        <w:br/>
      </w:r>
      <w:r w:rsidRPr="00BD59CE">
        <w:rPr>
          <w:b/>
          <w:i/>
        </w:rPr>
        <w:br/>
        <w:t>Ronaldo da Silva Conceição</w:t>
      </w:r>
      <w:r w:rsidRPr="00BD59CE">
        <w:rPr>
          <w:b/>
          <w:i/>
        </w:rPr>
        <w:br/>
        <w:t>Contador</w:t>
      </w:r>
    </w:p>
    <w:p w:rsidR="006C369C" w:rsidRDefault="0012710F">
      <w:pPr>
        <w:jc w:val="center"/>
        <w:rPr>
          <w:b/>
          <w:i/>
        </w:rPr>
      </w:pPr>
      <w:r w:rsidRPr="00BD59CE">
        <w:rPr>
          <w:b/>
          <w:i/>
        </w:rPr>
        <w:t>Coordenação:</w:t>
      </w:r>
      <w:r w:rsidRPr="00BD59CE">
        <w:rPr>
          <w:b/>
          <w:i/>
        </w:rPr>
        <w:br/>
      </w:r>
      <w:r w:rsidRPr="00BD59CE">
        <w:rPr>
          <w:b/>
          <w:i/>
        </w:rPr>
        <w:br/>
      </w:r>
      <w:r w:rsidR="00336BE9">
        <w:rPr>
          <w:b/>
          <w:i/>
        </w:rPr>
        <w:t xml:space="preserve">Laercio </w:t>
      </w:r>
      <w:proofErr w:type="spellStart"/>
      <w:r w:rsidR="00336BE9">
        <w:rPr>
          <w:b/>
          <w:i/>
        </w:rPr>
        <w:t>Lanomatto</w:t>
      </w:r>
      <w:proofErr w:type="spellEnd"/>
      <w:r w:rsidRPr="00BD59CE">
        <w:rPr>
          <w:b/>
          <w:i/>
        </w:rPr>
        <w:br/>
      </w:r>
      <w:r w:rsidR="00336BE9">
        <w:rPr>
          <w:b/>
          <w:i/>
        </w:rPr>
        <w:t>Secretário</w:t>
      </w:r>
      <w:r w:rsidRPr="00BD59CE">
        <w:rPr>
          <w:b/>
          <w:i/>
        </w:rPr>
        <w:t xml:space="preserve"> Municipal de Administração</w:t>
      </w:r>
    </w:p>
    <w:p w:rsidR="0012710F" w:rsidRPr="00BD59CE" w:rsidRDefault="006C369C" w:rsidP="006C369C">
      <w:pPr>
        <w:jc w:val="center"/>
        <w:rPr>
          <w:b/>
          <w:i/>
        </w:rPr>
      </w:pPr>
      <w:r>
        <w:rPr>
          <w:b/>
          <w:i/>
        </w:rPr>
        <w:br/>
        <w:t xml:space="preserve">Valdecir Luiz </w:t>
      </w:r>
      <w:proofErr w:type="spellStart"/>
      <w:r>
        <w:rPr>
          <w:b/>
          <w:i/>
        </w:rPr>
        <w:t>Estevan</w:t>
      </w:r>
      <w:proofErr w:type="spellEnd"/>
      <w:r>
        <w:rPr>
          <w:b/>
          <w:i/>
        </w:rPr>
        <w:br/>
        <w:t>Prefeito Municipal</w:t>
      </w:r>
    </w:p>
    <w:p w:rsidR="00952A07" w:rsidRPr="0097433C" w:rsidRDefault="0012710F" w:rsidP="0097433C">
      <w:pPr>
        <w:jc w:val="center"/>
        <w:rPr>
          <w:b/>
        </w:rPr>
        <w:sectPr w:rsidR="00952A07" w:rsidRPr="0097433C" w:rsidSect="008B4280">
          <w:headerReference w:type="default" r:id="rId8"/>
          <w:footerReference w:type="default" r:id="rId9"/>
          <w:pgSz w:w="11906" w:h="16838"/>
          <w:pgMar w:top="2835" w:right="1701" w:bottom="1661" w:left="1701" w:header="720" w:footer="482" w:gutter="0"/>
          <w:cols w:space="708"/>
          <w:vAlign w:val="both"/>
          <w:docGrid w:linePitch="360"/>
        </w:sectPr>
      </w:pPr>
      <w:r w:rsidRPr="00BD59CE">
        <w:rPr>
          <w:b/>
        </w:rPr>
        <w:t>Engenho Velho</w:t>
      </w:r>
      <w:r w:rsidRPr="00BD59CE">
        <w:rPr>
          <w:b/>
        </w:rPr>
        <w:br/>
      </w:r>
      <w:r w:rsidR="0051302A">
        <w:rPr>
          <w:b/>
        </w:rPr>
        <w:t>Outubro 201</w:t>
      </w:r>
      <w:r w:rsidR="001D2867">
        <w:rPr>
          <w:b/>
        </w:rPr>
        <w:t>4</w:t>
      </w:r>
    </w:p>
    <w:p w:rsidR="001357B4" w:rsidRPr="001357B4" w:rsidRDefault="001357B4" w:rsidP="001357B4">
      <w:pPr>
        <w:pStyle w:val="Ttulo7"/>
        <w:spacing w:line="360" w:lineRule="auto"/>
        <w:rPr>
          <w:rFonts w:ascii="Arial" w:hAnsi="Arial" w:cs="Arial"/>
          <w:b/>
        </w:rPr>
      </w:pPr>
      <w:r w:rsidRPr="001357B4">
        <w:rPr>
          <w:rFonts w:ascii="Arial" w:hAnsi="Arial" w:cs="Arial"/>
          <w:b/>
        </w:rPr>
        <w:lastRenderedPageBreak/>
        <w:t>LEI</w:t>
      </w:r>
      <w:r>
        <w:rPr>
          <w:rFonts w:ascii="Arial" w:hAnsi="Arial" w:cs="Arial"/>
          <w:b/>
        </w:rPr>
        <w:t xml:space="preserve"> MUNICIPAL Nº 0830</w:t>
      </w:r>
      <w:r w:rsidRPr="001357B4">
        <w:rPr>
          <w:rFonts w:ascii="Arial" w:hAnsi="Arial" w:cs="Arial"/>
          <w:b/>
        </w:rPr>
        <w:t xml:space="preserve">/2014, DE </w:t>
      </w:r>
      <w:r w:rsidR="00286B3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1357B4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1357B4">
        <w:rPr>
          <w:rFonts w:ascii="Arial" w:hAnsi="Arial" w:cs="Arial"/>
          <w:b/>
        </w:rPr>
        <w:t xml:space="preserve"> DE 2014</w:t>
      </w:r>
    </w:p>
    <w:p w:rsidR="001357B4" w:rsidRPr="002D3B99" w:rsidRDefault="001357B4" w:rsidP="001357B4">
      <w:pPr>
        <w:jc w:val="both"/>
        <w:rPr>
          <w:rFonts w:ascii="Arial" w:hAnsi="Arial" w:cs="Arial"/>
          <w:i/>
          <w:snapToGrid w:val="0"/>
        </w:rPr>
      </w:pPr>
    </w:p>
    <w:p w:rsidR="001357B4" w:rsidRPr="00D22845" w:rsidRDefault="001357B4" w:rsidP="001357B4">
      <w:pPr>
        <w:tabs>
          <w:tab w:val="left" w:pos="3402"/>
        </w:tabs>
        <w:ind w:left="3402"/>
        <w:jc w:val="both"/>
        <w:rPr>
          <w:rFonts w:ascii="Arial" w:hAnsi="Arial" w:cs="Arial"/>
          <w:b/>
          <w:snapToGrid w:val="0"/>
        </w:rPr>
      </w:pPr>
      <w:r w:rsidRPr="00D22845">
        <w:rPr>
          <w:rFonts w:ascii="Arial" w:hAnsi="Arial" w:cs="Arial"/>
          <w:b/>
          <w:snapToGrid w:val="0"/>
        </w:rPr>
        <w:t>“</w:t>
      </w:r>
      <w:r w:rsidR="00D278E9">
        <w:rPr>
          <w:rFonts w:ascii="Arial" w:hAnsi="Arial" w:cs="Arial"/>
          <w:b/>
          <w:snapToGrid w:val="0"/>
        </w:rPr>
        <w:t xml:space="preserve">ESTIMA RECEITA E FIXA A DESPESA DO MUNICÍPIO </w:t>
      </w:r>
      <w:bookmarkStart w:id="0" w:name="_GoBack"/>
      <w:bookmarkEnd w:id="0"/>
      <w:r w:rsidR="00D278E9">
        <w:rPr>
          <w:rFonts w:ascii="Arial" w:hAnsi="Arial" w:cs="Arial"/>
          <w:b/>
          <w:snapToGrid w:val="0"/>
        </w:rPr>
        <w:t>DE ENGENHO VELHO – RS, PARA O EXERCÍCIO FINANCEIRO DE 2015 E DÁ OUTRAS PROVIDÊNCIAS</w:t>
      </w:r>
      <w:r>
        <w:rPr>
          <w:rFonts w:ascii="Arial" w:hAnsi="Arial" w:cs="Arial"/>
          <w:b/>
          <w:snapToGrid w:val="0"/>
        </w:rPr>
        <w:t>”.</w:t>
      </w:r>
    </w:p>
    <w:p w:rsidR="001357B4" w:rsidRDefault="001357B4" w:rsidP="00830E68">
      <w:pPr>
        <w:tabs>
          <w:tab w:val="left" w:pos="3402"/>
        </w:tabs>
        <w:jc w:val="both"/>
        <w:rPr>
          <w:rFonts w:ascii="Arial" w:hAnsi="Arial" w:cs="Arial"/>
          <w:i/>
          <w:snapToGrid w:val="0"/>
        </w:rPr>
      </w:pPr>
    </w:p>
    <w:p w:rsidR="001357B4" w:rsidRPr="00C4696C" w:rsidRDefault="001357B4" w:rsidP="001357B4">
      <w:pPr>
        <w:spacing w:after="200" w:line="276" w:lineRule="auto"/>
        <w:ind w:firstLine="2832"/>
        <w:rPr>
          <w:rFonts w:ascii="Arial" w:eastAsia="Calibri" w:hAnsi="Arial" w:cs="Arial"/>
          <w:lang w:eastAsia="en-US"/>
        </w:rPr>
      </w:pPr>
      <w:r w:rsidRPr="00C4696C">
        <w:rPr>
          <w:rFonts w:ascii="Arial" w:eastAsia="Calibri" w:hAnsi="Arial" w:cs="Arial"/>
          <w:b/>
          <w:color w:val="000000"/>
        </w:rPr>
        <w:t xml:space="preserve">VALDECIR LUIZ ESTEVAN, </w:t>
      </w:r>
      <w:r w:rsidRPr="00C4696C">
        <w:rPr>
          <w:rFonts w:ascii="Arial" w:eastAsia="Calibri" w:hAnsi="Arial" w:cs="Arial"/>
          <w:lang w:eastAsia="en-US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1357B4" w:rsidRPr="001357B4" w:rsidRDefault="001357B4" w:rsidP="00062282">
      <w:pPr>
        <w:spacing w:after="200" w:line="276" w:lineRule="auto"/>
        <w:ind w:left="1416" w:firstLine="708"/>
        <w:rPr>
          <w:rFonts w:ascii="Arial" w:eastAsia="Calibri" w:hAnsi="Arial" w:cs="Arial"/>
          <w:b/>
          <w:u w:val="single"/>
          <w:lang w:eastAsia="en-US"/>
        </w:rPr>
      </w:pPr>
      <w:r w:rsidRPr="00C4696C">
        <w:rPr>
          <w:rFonts w:ascii="Arial" w:eastAsia="Calibri" w:hAnsi="Arial" w:cs="Arial"/>
          <w:b/>
          <w:u w:val="single"/>
          <w:lang w:eastAsia="en-US"/>
        </w:rPr>
        <w:t>L E I:</w:t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</w:t>
      </w:r>
    </w:p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DISPOSIÇÕES PRELIMINARES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Art. </w:t>
      </w:r>
      <w:r w:rsidR="001D10CC" w:rsidRPr="005822FD">
        <w:rPr>
          <w:snapToGrid w:val="0"/>
        </w:rPr>
        <w:t>1.º Esta</w:t>
      </w:r>
      <w:r w:rsidRPr="005822FD">
        <w:rPr>
          <w:snapToGrid w:val="0"/>
        </w:rPr>
        <w:t xml:space="preserve"> Lei estima a Receita e fixa a Despesa do Município para o exercício financeiro de </w:t>
      </w:r>
      <w:r w:rsidR="00336BE9">
        <w:rPr>
          <w:snapToGrid w:val="0"/>
        </w:rPr>
        <w:t>2015</w:t>
      </w:r>
      <w:r w:rsidRPr="005822FD">
        <w:rPr>
          <w:snapToGrid w:val="0"/>
        </w:rPr>
        <w:t>, compreendendo:</w:t>
      </w:r>
    </w:p>
    <w:p w:rsidR="001B644E" w:rsidRPr="000461D0" w:rsidRDefault="001B644E" w:rsidP="001B644E">
      <w:pPr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 — o Orçamento Fiscal, referente aos Poderes do Município, seus fundos, órgãos e entidades da Administração Pública Municipal Direta </w:t>
      </w:r>
      <w:r w:rsidRPr="000461D0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Indireta;</w:t>
      </w:r>
    </w:p>
    <w:p w:rsidR="001B644E" w:rsidRPr="00830E68" w:rsidRDefault="001B644E" w:rsidP="001B644E">
      <w:pPr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II — o Orçamento da Seguridade Social, abrangendo todas as entidades e órgãos da Administração Direta </w:t>
      </w:r>
      <w:r w:rsidRPr="000461D0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 a ele vinculados;</w:t>
      </w:r>
      <w:r w:rsidRPr="005822FD">
        <w:tab/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II</w:t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DO ORÇAMENTO FISCAL E DA SEGURIDADE SOCIAL</w:t>
      </w:r>
    </w:p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Seção I</w:t>
      </w:r>
    </w:p>
    <w:p w:rsidR="001B644E" w:rsidRPr="005822FD" w:rsidRDefault="001B644E" w:rsidP="001B644E">
      <w:pPr>
        <w:jc w:val="center"/>
        <w:rPr>
          <w:snapToGrid w:val="0"/>
        </w:rPr>
      </w:pPr>
      <w:r w:rsidRPr="005822FD">
        <w:rPr>
          <w:snapToGrid w:val="0"/>
        </w:rPr>
        <w:t>Da Estimativa da Receita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ind w:firstLine="709"/>
        <w:jc w:val="both"/>
      </w:pPr>
      <w:r w:rsidRPr="005822FD">
        <w:t xml:space="preserve">Art. 2º A Receita Orçamentária é </w:t>
      </w:r>
      <w:r w:rsidR="00A2200E" w:rsidRPr="005822FD">
        <w:t>estimada, em</w:t>
      </w:r>
      <w:r w:rsidRPr="005822FD">
        <w:t xml:space="preserve"> R$ </w:t>
      </w:r>
      <w:r w:rsidR="00336BE9">
        <w:t>11.350.000,</w:t>
      </w:r>
      <w:r w:rsidR="00A2200E">
        <w:t>00</w:t>
      </w:r>
      <w:r w:rsidR="00A2200E" w:rsidRPr="005822FD">
        <w:t xml:space="preserve"> (</w:t>
      </w:r>
      <w:r w:rsidR="00336BE9">
        <w:t xml:space="preserve">Onze Milhões e trezentos e cinquenta mil </w:t>
      </w:r>
      <w:r w:rsidR="00A2200E">
        <w:t>reais</w:t>
      </w:r>
      <w:r w:rsidR="00A2200E" w:rsidRPr="005822FD">
        <w:t>)</w:t>
      </w:r>
      <w:r w:rsidR="00EA3938">
        <w:t>.</w:t>
      </w:r>
      <w:r w:rsidRPr="005822FD">
        <w:t xml:space="preserve"> </w:t>
      </w:r>
    </w:p>
    <w:p w:rsidR="001B644E" w:rsidRPr="005822FD" w:rsidRDefault="001B644E" w:rsidP="001B644E">
      <w:pPr>
        <w:ind w:firstLine="709"/>
        <w:jc w:val="both"/>
        <w:rPr>
          <w:caps/>
        </w:rPr>
      </w:pP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 xml:space="preserve"> </w:t>
      </w:r>
      <w:r w:rsidRPr="005822FD">
        <w:rPr>
          <w:sz w:val="24"/>
        </w:rPr>
        <w:tab/>
        <w:t xml:space="preserve">Art. 3º A estimativa da receita por Categoria Econômica, segundo a origem dos recursos, será realizada com base no produto do que for arrecadado, na forma da legislação vigente e de acordo com </w:t>
      </w:r>
      <w:r w:rsidR="00AA1172" w:rsidRPr="005822FD">
        <w:rPr>
          <w:sz w:val="24"/>
        </w:rPr>
        <w:t>o desdobramento</w:t>
      </w:r>
      <w:r w:rsidRPr="005822FD">
        <w:rPr>
          <w:sz w:val="24"/>
        </w:rPr>
        <w:t xml:space="preserve"> do anexo I que faz parte desta Lei: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/>
    <w:p w:rsidR="001B644E" w:rsidRPr="005822FD" w:rsidRDefault="001B644E" w:rsidP="001B644E">
      <w:pPr>
        <w:pStyle w:val="Ttulo5"/>
        <w:rPr>
          <w:b w:val="0"/>
          <w:snapToGrid w:val="0"/>
          <w:sz w:val="24"/>
        </w:rPr>
      </w:pPr>
      <w:r w:rsidRPr="005822FD">
        <w:rPr>
          <w:b w:val="0"/>
          <w:snapToGrid w:val="0"/>
          <w:sz w:val="24"/>
        </w:rPr>
        <w:t>Seção 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Da Fixação da Despesa</w:t>
      </w:r>
    </w:p>
    <w:p w:rsidR="001B644E" w:rsidRPr="005822FD" w:rsidRDefault="001B644E" w:rsidP="001B644E"/>
    <w:p w:rsidR="00336BE9" w:rsidRDefault="001B644E" w:rsidP="001B644E">
      <w:pPr>
        <w:ind w:firstLine="709"/>
        <w:jc w:val="both"/>
      </w:pPr>
      <w:r w:rsidRPr="005822FD">
        <w:lastRenderedPageBreak/>
        <w:t xml:space="preserve">Art. 4º A Despesa Orçamentária, no mesmo valor da Receita Orçamentária, é fixada em </w:t>
      </w:r>
      <w:r w:rsidR="00EA3938" w:rsidRPr="005822FD">
        <w:t xml:space="preserve">R$ </w:t>
      </w:r>
      <w:r w:rsidR="00336BE9">
        <w:t>11.350.000,</w:t>
      </w:r>
      <w:r w:rsidR="00AA1172">
        <w:t>00</w:t>
      </w:r>
      <w:r w:rsidR="00AA1172" w:rsidRPr="005822FD">
        <w:t xml:space="preserve"> (</w:t>
      </w:r>
      <w:r w:rsidR="00336BE9">
        <w:t xml:space="preserve">Onze Milhões e trezentos e cinquenta mil </w:t>
      </w:r>
      <w:r w:rsidR="00AA1172">
        <w:t>reais</w:t>
      </w:r>
      <w:r w:rsidR="00AA1172" w:rsidRPr="005822FD">
        <w:t>)</w:t>
      </w:r>
      <w:r w:rsidR="00336BE9">
        <w:t>.</w:t>
      </w:r>
    </w:p>
    <w:p w:rsidR="00062282" w:rsidRDefault="00062282" w:rsidP="001B644E">
      <w:pPr>
        <w:ind w:firstLine="709"/>
        <w:jc w:val="both"/>
      </w:pPr>
    </w:p>
    <w:p w:rsidR="001B644E" w:rsidRPr="005822FD" w:rsidRDefault="001B644E" w:rsidP="001B644E">
      <w:pPr>
        <w:ind w:firstLine="709"/>
        <w:jc w:val="both"/>
      </w:pPr>
      <w:r w:rsidRPr="005822FD">
        <w:t>Art. 5</w:t>
      </w:r>
      <w:r w:rsidR="00AA1172" w:rsidRPr="005822FD">
        <w:t>º A</w:t>
      </w:r>
      <w:r w:rsidRPr="005822FD">
        <w:t xml:space="preserve"> despesa total fixada apresenta </w:t>
      </w:r>
      <w:r w:rsidR="00AA1172" w:rsidRPr="005822FD">
        <w:t>o desdobramento</w:t>
      </w:r>
      <w:r w:rsidRPr="005822FD">
        <w:t xml:space="preserve"> constante no anexo II que faz </w:t>
      </w:r>
      <w:r w:rsidR="00AA1172" w:rsidRPr="005822FD">
        <w:t>parte desta</w:t>
      </w:r>
      <w:r w:rsidRPr="005822FD">
        <w:t xml:space="preserve"> Lei:</w:t>
      </w:r>
    </w:p>
    <w:p w:rsidR="001B644E" w:rsidRPr="005822FD" w:rsidRDefault="001B644E" w:rsidP="001B644E">
      <w:pPr>
        <w:ind w:firstLine="709"/>
        <w:jc w:val="both"/>
      </w:pPr>
    </w:p>
    <w:p w:rsidR="001B644E" w:rsidRPr="000461D0" w:rsidRDefault="001B644E" w:rsidP="001B644E">
      <w:pPr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6º </w:t>
      </w:r>
      <w:r w:rsidR="00AA1172"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Integram também</w:t>
      </w:r>
      <w:r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esta Lei, </w:t>
      </w:r>
      <w:r w:rsidR="00AA1172"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conforme dispõe</w:t>
      </w:r>
      <w:r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sobre as Diretrizes Orçamentárias para o Exercício Financeiro de </w:t>
      </w:r>
      <w:r w:rsidR="00336BE9"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orçamentários, também fica atualizado os anexos da LDO/</w:t>
      </w:r>
      <w:r w:rsidR="00336BE9"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EA3938"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PPA</w:t>
      </w:r>
      <w:r w:rsidRPr="000461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B644E" w:rsidRPr="005822FD" w:rsidRDefault="001B644E" w:rsidP="001B644E"/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Seção III</w:t>
      </w:r>
    </w:p>
    <w:p w:rsidR="001B644E" w:rsidRPr="005822FD" w:rsidRDefault="001B644E" w:rsidP="001B644E">
      <w:pPr>
        <w:pStyle w:val="Ttulo5"/>
        <w:rPr>
          <w:b w:val="0"/>
          <w:sz w:val="24"/>
        </w:rPr>
      </w:pPr>
      <w:r w:rsidRPr="005822FD">
        <w:rPr>
          <w:b w:val="0"/>
          <w:sz w:val="24"/>
        </w:rPr>
        <w:t>Da Autorização para Abertura de Créditos Suplementares</w:t>
      </w:r>
      <w:r w:rsidR="00F62073">
        <w:rPr>
          <w:b w:val="0"/>
          <w:sz w:val="24"/>
        </w:rPr>
        <w:t xml:space="preserve"> e especiais</w:t>
      </w:r>
    </w:p>
    <w:p w:rsidR="001B644E" w:rsidRPr="005822FD" w:rsidRDefault="001B644E" w:rsidP="001B644E"/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Art. 7º Ficam autorizados:</w:t>
      </w: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I – Ao Poder Executivo, mediante Decreto, a abertura de Créditos Suplementares</w:t>
      </w:r>
      <w:r>
        <w:rPr>
          <w:snapToGrid w:val="0"/>
        </w:rPr>
        <w:t xml:space="preserve"> ou especiais</w:t>
      </w:r>
      <w:r w:rsidRPr="005822FD">
        <w:rPr>
          <w:snapToGrid w:val="0"/>
        </w:rPr>
        <w:t xml:space="preserve"> até o limite </w:t>
      </w:r>
      <w:r w:rsidR="00AF376B" w:rsidRPr="005822FD">
        <w:rPr>
          <w:snapToGrid w:val="0"/>
        </w:rPr>
        <w:t>de dez</w:t>
      </w:r>
      <w:r w:rsidRPr="005822FD">
        <w:rPr>
          <w:snapToGrid w:val="0"/>
        </w:rPr>
        <w:t xml:space="preserve"> por cento da sua despesa total fixada, compreendendo as operações </w:t>
      </w:r>
      <w:proofErr w:type="spellStart"/>
      <w:r w:rsidRPr="005822FD">
        <w:rPr>
          <w:snapToGrid w:val="0"/>
        </w:rPr>
        <w:t>intraorçamentárias</w:t>
      </w:r>
      <w:proofErr w:type="spellEnd"/>
      <w:r w:rsidRPr="005822FD">
        <w:rPr>
          <w:snapToGrid w:val="0"/>
        </w:rPr>
        <w:t>, com a finalidade de suprir insuficiências de dotações orçamentárias, mediante a utilização de recursos provenientes de:</w:t>
      </w:r>
    </w:p>
    <w:p w:rsidR="001B644E" w:rsidRPr="005822FD" w:rsidRDefault="001B644E" w:rsidP="001B644E">
      <w:pPr>
        <w:jc w:val="both"/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>a) anulação parcial ou total de suas dotações</w:t>
      </w:r>
      <w:r w:rsidR="001A7C82">
        <w:rPr>
          <w:snapToGrid w:val="0"/>
        </w:rPr>
        <w:t>: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>.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>.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ab/>
        <w:t>II – Ao Poder Legislativo, mediante Resolução da Mesa Diretora da Câmara, a abertura de Créditos Suplementares</w:t>
      </w:r>
      <w:r>
        <w:rPr>
          <w:sz w:val="24"/>
        </w:rPr>
        <w:t xml:space="preserve"> ou especiais</w:t>
      </w:r>
      <w:r w:rsidRPr="005822FD">
        <w:rPr>
          <w:sz w:val="24"/>
        </w:rPr>
        <w:t xml:space="preserve"> até o limite de dez por cento de sua despesa total fixada, compreendendo as operações </w:t>
      </w:r>
      <w:proofErr w:type="spellStart"/>
      <w:r w:rsidRPr="005822FD">
        <w:rPr>
          <w:sz w:val="24"/>
        </w:rPr>
        <w:t>intraorçamentárias</w:t>
      </w:r>
      <w:proofErr w:type="spellEnd"/>
      <w:r w:rsidRPr="005822FD">
        <w:rPr>
          <w:sz w:val="24"/>
        </w:rPr>
        <w:t>, com a finalidade de suprir insuficiências de suas dotações orçamentárias, mediante a utilização de recursos provenientes de anulação parcial ou total de suas dotações.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Corpodetexto2"/>
      </w:pPr>
      <w:r w:rsidRPr="005822FD">
        <w:tab/>
        <w:t>Art. 8º Os limites autorizados no artigo 7º não serão onerados quando o crédito suplementar</w:t>
      </w:r>
      <w:r w:rsidR="00EA3938">
        <w:t xml:space="preserve"> ou </w:t>
      </w:r>
      <w:r w:rsidR="00AF376B">
        <w:t xml:space="preserve">especial </w:t>
      </w:r>
      <w:r w:rsidR="00AF376B" w:rsidRPr="005822FD">
        <w:t>se</w:t>
      </w:r>
      <w:r w:rsidRPr="005822FD">
        <w:t xml:space="preserve"> destinar a: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Abrir crédito suplementar ou especial para atender despesas relativas à aplicação ou transferência de receitas vinculadas que excedam a previsão orçamentária, ou que não estejam contempladas no </w:t>
      </w:r>
      <w:r w:rsidR="00AF376B" w:rsidRPr="005822FD">
        <w:t>orçamento até</w:t>
      </w:r>
      <w:r w:rsidRPr="005822FD">
        <w:t xml:space="preserve"> o limite recebido.</w:t>
      </w:r>
    </w:p>
    <w:p w:rsidR="001B644E" w:rsidRPr="005822FD" w:rsidRDefault="001B644E" w:rsidP="001B644E">
      <w:pPr>
        <w:ind w:left="357"/>
        <w:jc w:val="both"/>
      </w:pP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Remanejar dotações orçamentárias no mesmo programa de governo, ou projeto de atividade até o limite do </w:t>
      </w:r>
      <w:r w:rsidR="004D2069" w:rsidRPr="005822FD">
        <w:t>valor inicial</w:t>
      </w:r>
      <w:r w:rsidRPr="005822FD">
        <w:t xml:space="preserve"> do programa, ou projeto;</w:t>
      </w:r>
    </w:p>
    <w:p w:rsidR="001B644E" w:rsidRPr="005822FD" w:rsidRDefault="001B644E" w:rsidP="005B43AE">
      <w:pPr>
        <w:numPr>
          <w:ilvl w:val="0"/>
          <w:numId w:val="1"/>
        </w:numPr>
        <w:ind w:left="1077"/>
        <w:jc w:val="both"/>
      </w:pPr>
      <w:r w:rsidRPr="005822FD">
        <w:t>Abrir crédito suplementar ou especial com saldo de recursos vinculados não utilizados no exercício anterior, até o limite do saldo bancário;</w:t>
      </w:r>
    </w:p>
    <w:p w:rsidR="001B644E" w:rsidRPr="005B43AE" w:rsidRDefault="001B644E" w:rsidP="005B43AE">
      <w:pPr>
        <w:numPr>
          <w:ilvl w:val="0"/>
          <w:numId w:val="1"/>
        </w:numPr>
        <w:ind w:left="1077"/>
        <w:jc w:val="both"/>
      </w:pPr>
      <w:r w:rsidRPr="005822FD">
        <w:t xml:space="preserve">Abrir créditos suplementares ou </w:t>
      </w:r>
      <w:r w:rsidR="004D2069" w:rsidRPr="005822FD">
        <w:t>especiais, com</w:t>
      </w:r>
      <w:r w:rsidRPr="005822FD">
        <w:t xml:space="preserve"> </w:t>
      </w:r>
      <w:r w:rsidR="004D2069" w:rsidRPr="005822FD">
        <w:t>o superávit</w:t>
      </w:r>
      <w:r w:rsidRPr="005822FD">
        <w:t xml:space="preserve"> financeiro apurado no exercício anterior;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Insuficiências de dotações do Grupo de Natureza da Despesa 1 — Pessoal e Encargos Sociais, mediante a utilização de recursos oriundos de </w:t>
      </w:r>
      <w:r w:rsidRPr="005822FD">
        <w:rPr>
          <w:snapToGrid w:val="0"/>
        </w:rPr>
        <w:t>anulação parcial ou total de suas dotações</w:t>
      </w:r>
      <w:r w:rsidRPr="005822FD">
        <w:t>;</w:t>
      </w:r>
    </w:p>
    <w:p w:rsidR="001B644E" w:rsidRPr="005822FD" w:rsidRDefault="001B644E" w:rsidP="001B644E">
      <w:pPr>
        <w:pStyle w:val="PargrafodaLista"/>
        <w:rPr>
          <w:sz w:val="24"/>
          <w:szCs w:val="24"/>
        </w:rPr>
      </w:pP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>Pagamento de despesas decorrentes de precatórios judiciais, amortização, juros e encargos da dívida;</w:t>
      </w:r>
    </w:p>
    <w:p w:rsidR="001B644E" w:rsidRPr="005822FD" w:rsidRDefault="001B644E" w:rsidP="001B644E">
      <w:pPr>
        <w:pStyle w:val="PargrafodaLista"/>
        <w:rPr>
          <w:sz w:val="24"/>
          <w:szCs w:val="24"/>
        </w:rPr>
      </w:pP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  <w:rPr>
          <w:snapToGrid w:val="0"/>
        </w:rPr>
      </w:pPr>
      <w:r w:rsidRPr="005822FD">
        <w:rPr>
          <w:snapToGrid w:val="0"/>
        </w:rPr>
        <w:t xml:space="preserve">Despesas financiadas com recursos provenientes </w:t>
      </w:r>
      <w:r w:rsidR="009700F9" w:rsidRPr="005822FD">
        <w:rPr>
          <w:snapToGrid w:val="0"/>
        </w:rPr>
        <w:t>de operações</w:t>
      </w:r>
      <w:r w:rsidRPr="005822FD">
        <w:rPr>
          <w:snapToGrid w:val="0"/>
        </w:rPr>
        <w:t xml:space="preserve"> de crédito, alienação de bens </w:t>
      </w:r>
      <w:r w:rsidR="009700F9" w:rsidRPr="005822FD">
        <w:rPr>
          <w:snapToGrid w:val="0"/>
        </w:rPr>
        <w:t>e transferências</w:t>
      </w:r>
      <w:r w:rsidRPr="005822FD">
        <w:rPr>
          <w:snapToGrid w:val="0"/>
        </w:rPr>
        <w:t xml:space="preserve"> voluntárias da União e do Estado.</w:t>
      </w:r>
    </w:p>
    <w:p w:rsidR="001B644E" w:rsidRPr="005822FD" w:rsidRDefault="001B644E" w:rsidP="001B644E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 xml:space="preserve">Parágrafo único: As disposições dos incisos I e </w:t>
      </w:r>
      <w:r w:rsidR="003111DE">
        <w:rPr>
          <w:rFonts w:ascii="Times New Roman" w:hAnsi="Times New Roman"/>
          <w:snapToGrid w:val="0"/>
          <w:sz w:val="24"/>
          <w:szCs w:val="24"/>
        </w:rPr>
        <w:t>V</w:t>
      </w:r>
      <w:r w:rsidRPr="005822FD">
        <w:rPr>
          <w:rFonts w:ascii="Times New Roman" w:hAnsi="Times New Roman"/>
          <w:snapToGrid w:val="0"/>
          <w:sz w:val="24"/>
          <w:szCs w:val="24"/>
        </w:rPr>
        <w:t>II não se aplicam ao Poder Legislativo.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CAPÍTULO III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DISPOSIÇÕES GERAIS E FINAIS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 xml:space="preserve">Art. 9º A utilização das dotações com origem de recursos provenientes de transferências voluntárias, operações de </w:t>
      </w:r>
      <w:r w:rsidR="009700F9" w:rsidRPr="005822FD">
        <w:rPr>
          <w:snapToGrid w:val="0"/>
        </w:rPr>
        <w:t>crédito e</w:t>
      </w:r>
      <w:r w:rsidRPr="005822FD">
        <w:rPr>
          <w:snapToGrid w:val="0"/>
        </w:rPr>
        <w:t xml:space="preserve"> alienação de bens fica limitada aos efetivos recursos recebidos ou a receber.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pStyle w:val="NormalTexto"/>
        <w:tabs>
          <w:tab w:val="clear" w:pos="1701"/>
        </w:tabs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1B644E" w:rsidRPr="005822FD" w:rsidRDefault="001B644E" w:rsidP="001B644E">
      <w:pPr>
        <w:ind w:firstLine="708"/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Art. 11 Obedecidas as disposições da Lei de Diretrizes Orçamentárias, as transferências financeiras destinadas à Câmara Municipal serão </w:t>
      </w:r>
      <w:proofErr w:type="spellStart"/>
      <w:r w:rsidRPr="005822FD">
        <w:rPr>
          <w:snapToGrid w:val="0"/>
        </w:rPr>
        <w:t>disponibilzadas</w:t>
      </w:r>
      <w:proofErr w:type="spellEnd"/>
      <w:r w:rsidRPr="005822FD">
        <w:rPr>
          <w:snapToGrid w:val="0"/>
        </w:rPr>
        <w:t xml:space="preserve"> até o dia 20 de cada mês.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PAR01"/>
        <w:tabs>
          <w:tab w:val="clear" w:pos="14459"/>
        </w:tabs>
        <w:rPr>
          <w:sz w:val="24"/>
          <w:szCs w:val="24"/>
        </w:rPr>
      </w:pPr>
      <w:r w:rsidRPr="005822FD">
        <w:rPr>
          <w:sz w:val="24"/>
          <w:szCs w:val="24"/>
        </w:rPr>
        <w:t xml:space="preserve"> </w:t>
      </w:r>
      <w:r w:rsidRPr="005822FD">
        <w:rPr>
          <w:sz w:val="24"/>
          <w:szCs w:val="24"/>
        </w:rPr>
        <w:tab/>
        <w:t xml:space="preserve">Art. 12 O Prefeito Municipal, no âmbito do Poder Executivo, e nos termos do que dispuser a Lei de Diretrizes Orçamentárias, poderá adotar mecanismos para utilização das dotações, de forma a compatibilizar as despesas à </w:t>
      </w:r>
      <w:r w:rsidR="009700F9" w:rsidRPr="005822FD">
        <w:rPr>
          <w:sz w:val="24"/>
          <w:szCs w:val="24"/>
        </w:rPr>
        <w:t>efetiva realização</w:t>
      </w:r>
      <w:r w:rsidRPr="005822FD">
        <w:rPr>
          <w:sz w:val="24"/>
          <w:szCs w:val="24"/>
        </w:rPr>
        <w:t xml:space="preserve"> das </w:t>
      </w:r>
      <w:r w:rsidR="009700F9" w:rsidRPr="005822FD">
        <w:rPr>
          <w:sz w:val="24"/>
          <w:szCs w:val="24"/>
        </w:rPr>
        <w:t>receitas.</w:t>
      </w:r>
    </w:p>
    <w:p w:rsidR="001B644E" w:rsidRPr="005822FD" w:rsidRDefault="001B644E" w:rsidP="001B644E">
      <w:pPr>
        <w:pStyle w:val="Corpodetexto2"/>
        <w:tabs>
          <w:tab w:val="left" w:pos="-1418"/>
        </w:tabs>
      </w:pPr>
    </w:p>
    <w:p w:rsidR="001B644E" w:rsidRPr="005822FD" w:rsidRDefault="001B644E" w:rsidP="001B644E">
      <w:pPr>
        <w:pStyle w:val="Corpodetexto2"/>
        <w:tabs>
          <w:tab w:val="left" w:pos="-1418"/>
        </w:tabs>
      </w:pPr>
      <w:r w:rsidRPr="005822FD">
        <w:tab/>
        <w:t xml:space="preserve">Art. </w:t>
      </w:r>
      <w:r w:rsidR="006E0897">
        <w:t>13</w:t>
      </w:r>
      <w:r w:rsidRPr="005822FD">
        <w:t xml:space="preserve"> - Esta Lei entra em vigor na data de sua publicação.</w:t>
      </w:r>
    </w:p>
    <w:p w:rsidR="00ED35B4" w:rsidRPr="00BD59CE" w:rsidRDefault="0012710F" w:rsidP="00803AC3">
      <w:pPr>
        <w:ind w:left="360"/>
        <w:jc w:val="both"/>
      </w:pPr>
      <w:r w:rsidRPr="00BD59CE">
        <w:t xml:space="preserve"> </w:t>
      </w:r>
    </w:p>
    <w:p w:rsidR="00AB403B" w:rsidRDefault="0012710F" w:rsidP="00062282">
      <w:pPr>
        <w:jc w:val="both"/>
        <w:rPr>
          <w:b/>
          <w:bCs/>
        </w:rPr>
      </w:pPr>
      <w:r w:rsidRPr="00BD59CE">
        <w:rPr>
          <w:b/>
          <w:bCs/>
        </w:rPr>
        <w:t xml:space="preserve">GABINETE DO PREFEITO MUNICIPAL DE ENGENHO </w:t>
      </w:r>
      <w:r w:rsidR="00EA47BA" w:rsidRPr="00BD59CE">
        <w:rPr>
          <w:b/>
          <w:bCs/>
        </w:rPr>
        <w:t xml:space="preserve">VELHO, </w:t>
      </w:r>
      <w:r w:rsidR="00286B3B">
        <w:rPr>
          <w:b/>
          <w:bCs/>
        </w:rPr>
        <w:t>1</w:t>
      </w:r>
      <w:r w:rsidR="00EA47BA">
        <w:rPr>
          <w:b/>
          <w:bCs/>
        </w:rPr>
        <w:t>0</w:t>
      </w:r>
      <w:r w:rsidR="00FC0626">
        <w:rPr>
          <w:b/>
          <w:bCs/>
        </w:rPr>
        <w:t xml:space="preserve"> DE </w:t>
      </w:r>
      <w:r w:rsidR="00510D26">
        <w:rPr>
          <w:b/>
          <w:bCs/>
        </w:rPr>
        <w:t xml:space="preserve">DEZEMBRO </w:t>
      </w:r>
      <w:r w:rsidR="003A5A2C">
        <w:rPr>
          <w:b/>
          <w:bCs/>
        </w:rPr>
        <w:t>DE 2014</w:t>
      </w:r>
    </w:p>
    <w:p w:rsidR="00EA47BA" w:rsidRDefault="00EA47BA" w:rsidP="00803AC3">
      <w:pPr>
        <w:jc w:val="center"/>
        <w:rPr>
          <w:b/>
          <w:bCs/>
        </w:rPr>
      </w:pPr>
    </w:p>
    <w:p w:rsidR="00062282" w:rsidRPr="00BD59CE" w:rsidRDefault="00062282" w:rsidP="00803AC3">
      <w:pPr>
        <w:jc w:val="center"/>
        <w:rPr>
          <w:b/>
          <w:bCs/>
        </w:rPr>
      </w:pPr>
    </w:p>
    <w:p w:rsidR="0012710F" w:rsidRPr="00BD59CE" w:rsidRDefault="003A5A2C" w:rsidP="00803AC3">
      <w:pPr>
        <w:jc w:val="center"/>
        <w:rPr>
          <w:b/>
          <w:bCs/>
        </w:rPr>
      </w:pPr>
      <w:r>
        <w:rPr>
          <w:b/>
          <w:bCs/>
        </w:rPr>
        <w:t>VALDECIR LUIZ ESTEVAN</w:t>
      </w:r>
    </w:p>
    <w:p w:rsidR="00062282" w:rsidRDefault="00C24DF5" w:rsidP="00A2200E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t>Prefeito Municipal</w:t>
      </w:r>
    </w:p>
    <w:p w:rsidR="00062282" w:rsidRDefault="00062282" w:rsidP="00062282">
      <w:pPr>
        <w:rPr>
          <w:lang w:eastAsia="pt-BR"/>
        </w:rPr>
      </w:pPr>
    </w:p>
    <w:p w:rsidR="00062282" w:rsidRPr="00062282" w:rsidRDefault="00062282" w:rsidP="00062282">
      <w:pPr>
        <w:rPr>
          <w:lang w:eastAsia="pt-BR"/>
        </w:rPr>
      </w:pPr>
    </w:p>
    <w:p w:rsidR="00062282" w:rsidRPr="00F247CE" w:rsidRDefault="00062282" w:rsidP="00062282">
      <w:pPr>
        <w:spacing w:line="276" w:lineRule="auto"/>
        <w:rPr>
          <w:b/>
        </w:rPr>
      </w:pPr>
      <w:r w:rsidRPr="00F247CE">
        <w:rPr>
          <w:b/>
        </w:rPr>
        <w:t>Registre-se Publique-se</w:t>
      </w:r>
    </w:p>
    <w:p w:rsidR="00062282" w:rsidRDefault="00062282" w:rsidP="00062282">
      <w:pPr>
        <w:spacing w:line="276" w:lineRule="auto"/>
        <w:rPr>
          <w:b/>
        </w:rPr>
      </w:pPr>
      <w:r w:rsidRPr="00F247CE">
        <w:rPr>
          <w:b/>
        </w:rPr>
        <w:t>Data Supra.</w:t>
      </w:r>
    </w:p>
    <w:p w:rsidR="00062282" w:rsidRPr="00F247CE" w:rsidRDefault="00062282" w:rsidP="00062282">
      <w:pPr>
        <w:spacing w:line="276" w:lineRule="auto"/>
        <w:rPr>
          <w:b/>
        </w:rPr>
      </w:pPr>
    </w:p>
    <w:p w:rsidR="00062282" w:rsidRPr="00F247CE" w:rsidRDefault="00062282" w:rsidP="00062282">
      <w:pPr>
        <w:spacing w:line="276" w:lineRule="auto"/>
        <w:rPr>
          <w:b/>
        </w:rPr>
      </w:pPr>
      <w:r w:rsidRPr="00F247CE">
        <w:rPr>
          <w:b/>
        </w:rPr>
        <w:t xml:space="preserve">Laercio </w:t>
      </w:r>
      <w:proofErr w:type="spellStart"/>
      <w:r w:rsidRPr="00F247CE">
        <w:rPr>
          <w:b/>
        </w:rPr>
        <w:t>Lamonatto</w:t>
      </w:r>
      <w:proofErr w:type="spellEnd"/>
    </w:p>
    <w:p w:rsidR="00062282" w:rsidRDefault="00062282" w:rsidP="00062282">
      <w:pPr>
        <w:spacing w:line="276" w:lineRule="auto"/>
        <w:rPr>
          <w:b/>
        </w:rPr>
      </w:pPr>
      <w:r w:rsidRPr="00F247CE">
        <w:rPr>
          <w:b/>
        </w:rPr>
        <w:t>Sec. Municipal de Administração</w:t>
      </w:r>
    </w:p>
    <w:p w:rsidR="00062282" w:rsidRDefault="00062282" w:rsidP="00A2200E">
      <w:pPr>
        <w:pStyle w:val="Ttulo2"/>
        <w:jc w:val="center"/>
        <w:rPr>
          <w:rFonts w:ascii="Times New Roman" w:hAnsi="Times New Roman"/>
          <w:sz w:val="24"/>
        </w:rPr>
      </w:pPr>
    </w:p>
    <w:p w:rsidR="00952A07" w:rsidRPr="00BD59CE" w:rsidRDefault="00803AC3" w:rsidP="00674749">
      <w:pPr>
        <w:pStyle w:val="Ttulo2"/>
        <w:rPr>
          <w:rFonts w:ascii="Times New Roman" w:hAnsi="Times New Roman"/>
          <w:sz w:val="24"/>
        </w:rPr>
      </w:pPr>
      <w:r w:rsidRPr="00062282">
        <w:br w:type="page"/>
      </w:r>
      <w:r w:rsidRPr="00BD59CE">
        <w:rPr>
          <w:rFonts w:ascii="Times New Roman" w:hAnsi="Times New Roman"/>
          <w:sz w:val="24"/>
        </w:rPr>
        <w:lastRenderedPageBreak/>
        <w:t>ANEXOS</w:t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Da Receita Municipal e dos Fundos:</w:t>
      </w:r>
    </w:p>
    <w:p w:rsidR="00763163" w:rsidRPr="00BD59CE" w:rsidRDefault="00763163" w:rsidP="00763163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br w:type="page"/>
      </w:r>
      <w:r w:rsidRPr="00BD59CE">
        <w:rPr>
          <w:rFonts w:ascii="Times New Roman" w:hAnsi="Times New Roman"/>
          <w:sz w:val="24"/>
        </w:rPr>
        <w:lastRenderedPageBreak/>
        <w:t>ANEXOS</w:t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 xml:space="preserve">Da </w:t>
      </w:r>
      <w:r w:rsidR="00A2200E" w:rsidRPr="00BD59CE">
        <w:rPr>
          <w:u w:val="single"/>
          <w:lang w:eastAsia="pt-BR"/>
        </w:rPr>
        <w:t>Despesa Municipal</w:t>
      </w:r>
      <w:r w:rsidRPr="00BD59CE">
        <w:rPr>
          <w:u w:val="single"/>
          <w:lang w:eastAsia="pt-BR"/>
        </w:rPr>
        <w:t xml:space="preserve"> e dos Fundos:</w:t>
      </w:r>
    </w:p>
    <w:p w:rsidR="00763163" w:rsidRPr="00BD59CE" w:rsidRDefault="00763163" w:rsidP="00763163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sectPr w:rsidR="00F90E8E" w:rsidRPr="00BD59CE" w:rsidSect="00062282">
      <w:pgSz w:w="11906" w:h="16838" w:code="9"/>
      <w:pgMar w:top="2552" w:right="1418" w:bottom="1134" w:left="170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2F" w:rsidRDefault="0015462F">
      <w:r>
        <w:separator/>
      </w:r>
    </w:p>
  </w:endnote>
  <w:endnote w:type="continuationSeparator" w:id="0">
    <w:p w:rsidR="0015462F" w:rsidRDefault="0015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C1" w:rsidRDefault="000461D0">
    <w:pPr>
      <w:pStyle w:val="Rodap"/>
    </w:pPr>
    <w:r>
      <w:rPr>
        <w:noProof/>
        <w:lang w:eastAsia="pt-BR"/>
      </w:rPr>
      <w:drawing>
        <wp:inline distT="0" distB="0" distL="0" distR="0">
          <wp:extent cx="5391150" cy="581025"/>
          <wp:effectExtent l="0" t="0" r="0" b="9525"/>
          <wp:docPr id="6" name="Imagem 6" descr="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 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0C1" w:rsidRDefault="000170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2F" w:rsidRDefault="0015462F">
      <w:r>
        <w:separator/>
      </w:r>
    </w:p>
  </w:footnote>
  <w:footnote w:type="continuationSeparator" w:id="0">
    <w:p w:rsidR="0015462F" w:rsidRDefault="0015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C1" w:rsidRPr="006C369C" w:rsidRDefault="000461D0" w:rsidP="006C369C">
    <w:pPr>
      <w:pStyle w:val="Cabealho"/>
    </w:pPr>
    <w:r>
      <w:rPr>
        <w:noProof/>
        <w:lang w:eastAsia="pt-BR"/>
      </w:rPr>
      <w:drawing>
        <wp:inline distT="0" distB="0" distL="0" distR="0">
          <wp:extent cx="5400675" cy="962025"/>
          <wp:effectExtent l="0" t="0" r="9525" b="9525"/>
          <wp:docPr id="5" name="Imagem 5" descr="TIMBR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BC"/>
    <w:rsid w:val="000117BA"/>
    <w:rsid w:val="000170C1"/>
    <w:rsid w:val="00033560"/>
    <w:rsid w:val="000461D0"/>
    <w:rsid w:val="00057E1B"/>
    <w:rsid w:val="00062282"/>
    <w:rsid w:val="000E4E02"/>
    <w:rsid w:val="0012710F"/>
    <w:rsid w:val="001357B4"/>
    <w:rsid w:val="00146A32"/>
    <w:rsid w:val="0015462F"/>
    <w:rsid w:val="001932B3"/>
    <w:rsid w:val="001A7C82"/>
    <w:rsid w:val="001B644E"/>
    <w:rsid w:val="001D10CC"/>
    <w:rsid w:val="001D2867"/>
    <w:rsid w:val="0020540E"/>
    <w:rsid w:val="00230006"/>
    <w:rsid w:val="00233973"/>
    <w:rsid w:val="00245D25"/>
    <w:rsid w:val="0025646C"/>
    <w:rsid w:val="00286B3B"/>
    <w:rsid w:val="00294233"/>
    <w:rsid w:val="003111DE"/>
    <w:rsid w:val="00336BE9"/>
    <w:rsid w:val="0034030C"/>
    <w:rsid w:val="00397F03"/>
    <w:rsid w:val="003A5A2C"/>
    <w:rsid w:val="003C34EB"/>
    <w:rsid w:val="003D32D3"/>
    <w:rsid w:val="00403728"/>
    <w:rsid w:val="00434FBE"/>
    <w:rsid w:val="00441965"/>
    <w:rsid w:val="0044361D"/>
    <w:rsid w:val="004B2059"/>
    <w:rsid w:val="004C4B7A"/>
    <w:rsid w:val="004C70D5"/>
    <w:rsid w:val="004D2069"/>
    <w:rsid w:val="00503513"/>
    <w:rsid w:val="00510D26"/>
    <w:rsid w:val="0051302A"/>
    <w:rsid w:val="00595DE2"/>
    <w:rsid w:val="005B43AE"/>
    <w:rsid w:val="005E49FC"/>
    <w:rsid w:val="00630BEA"/>
    <w:rsid w:val="0065071D"/>
    <w:rsid w:val="0065094C"/>
    <w:rsid w:val="00654694"/>
    <w:rsid w:val="00674749"/>
    <w:rsid w:val="00685548"/>
    <w:rsid w:val="006B0357"/>
    <w:rsid w:val="006B5C15"/>
    <w:rsid w:val="006C369C"/>
    <w:rsid w:val="006E0897"/>
    <w:rsid w:val="006F521F"/>
    <w:rsid w:val="00752629"/>
    <w:rsid w:val="00763163"/>
    <w:rsid w:val="007662CA"/>
    <w:rsid w:val="007A241A"/>
    <w:rsid w:val="007D5DBC"/>
    <w:rsid w:val="007E25AC"/>
    <w:rsid w:val="007E2E21"/>
    <w:rsid w:val="00803AC3"/>
    <w:rsid w:val="00804A48"/>
    <w:rsid w:val="00807CFE"/>
    <w:rsid w:val="00812DDF"/>
    <w:rsid w:val="00830E68"/>
    <w:rsid w:val="00836074"/>
    <w:rsid w:val="008B4280"/>
    <w:rsid w:val="0090780A"/>
    <w:rsid w:val="009251BA"/>
    <w:rsid w:val="00927B03"/>
    <w:rsid w:val="00952A07"/>
    <w:rsid w:val="009700F9"/>
    <w:rsid w:val="0097433C"/>
    <w:rsid w:val="009976E4"/>
    <w:rsid w:val="009A21BF"/>
    <w:rsid w:val="009B7540"/>
    <w:rsid w:val="009C51DC"/>
    <w:rsid w:val="009C58B1"/>
    <w:rsid w:val="009E23D1"/>
    <w:rsid w:val="009E3B94"/>
    <w:rsid w:val="00A2200E"/>
    <w:rsid w:val="00A50B04"/>
    <w:rsid w:val="00A826F4"/>
    <w:rsid w:val="00A923D8"/>
    <w:rsid w:val="00AA1172"/>
    <w:rsid w:val="00AB403B"/>
    <w:rsid w:val="00AD1454"/>
    <w:rsid w:val="00AF376B"/>
    <w:rsid w:val="00B05B64"/>
    <w:rsid w:val="00B10456"/>
    <w:rsid w:val="00B66BB7"/>
    <w:rsid w:val="00BA33A7"/>
    <w:rsid w:val="00BD59CE"/>
    <w:rsid w:val="00C0088C"/>
    <w:rsid w:val="00C24DF5"/>
    <w:rsid w:val="00C67527"/>
    <w:rsid w:val="00C93B18"/>
    <w:rsid w:val="00CC40E5"/>
    <w:rsid w:val="00CC6D75"/>
    <w:rsid w:val="00D278E9"/>
    <w:rsid w:val="00D3112C"/>
    <w:rsid w:val="00D3360C"/>
    <w:rsid w:val="00DD18D9"/>
    <w:rsid w:val="00DF26CD"/>
    <w:rsid w:val="00DF2E77"/>
    <w:rsid w:val="00DF4847"/>
    <w:rsid w:val="00E250EE"/>
    <w:rsid w:val="00E44766"/>
    <w:rsid w:val="00E71194"/>
    <w:rsid w:val="00E908BB"/>
    <w:rsid w:val="00E967D6"/>
    <w:rsid w:val="00EA3938"/>
    <w:rsid w:val="00EA47BA"/>
    <w:rsid w:val="00EA6764"/>
    <w:rsid w:val="00EA7635"/>
    <w:rsid w:val="00EA77C4"/>
    <w:rsid w:val="00ED35B4"/>
    <w:rsid w:val="00F62073"/>
    <w:rsid w:val="00F71399"/>
    <w:rsid w:val="00F76D9C"/>
    <w:rsid w:val="00F90E8E"/>
    <w:rsid w:val="00FB1D0E"/>
    <w:rsid w:val="00FC0626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356609-EE61-4AEE-95D2-C753EA38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59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B2059"/>
    <w:pPr>
      <w:outlineLvl w:val="0"/>
    </w:pPr>
    <w:rPr>
      <w:rFonts w:ascii="Arial" w:eastAsia="Times New Roman" w:hAnsi="Arial"/>
      <w:b/>
      <w:sz w:val="20"/>
    </w:rPr>
  </w:style>
  <w:style w:type="paragraph" w:styleId="Ttulo2">
    <w:name w:val="heading 2"/>
    <w:basedOn w:val="Normal"/>
    <w:next w:val="Normal"/>
    <w:qFormat/>
    <w:rsid w:val="004B2059"/>
    <w:pPr>
      <w:snapToGrid w:val="0"/>
      <w:outlineLvl w:val="1"/>
    </w:pPr>
    <w:rPr>
      <w:rFonts w:ascii="Arial" w:eastAsia="Times New Roman" w:hAnsi="Arial"/>
      <w:b/>
      <w:color w:val="000000"/>
      <w:sz w:val="20"/>
      <w:lang w:eastAsia="pt-BR"/>
    </w:rPr>
  </w:style>
  <w:style w:type="paragraph" w:styleId="Ttulo3">
    <w:name w:val="heading 3"/>
    <w:basedOn w:val="Normal"/>
    <w:next w:val="Normal"/>
    <w:qFormat/>
    <w:rsid w:val="004B2059"/>
    <w:pPr>
      <w:jc w:val="center"/>
      <w:outlineLvl w:val="2"/>
    </w:pPr>
    <w:rPr>
      <w:rFonts w:eastAsia="Times New Roman"/>
      <w:b/>
      <w:sz w:val="20"/>
    </w:rPr>
  </w:style>
  <w:style w:type="paragraph" w:styleId="Ttulo4">
    <w:name w:val="heading 4"/>
    <w:basedOn w:val="Normal"/>
    <w:next w:val="Normal"/>
    <w:qFormat/>
    <w:rsid w:val="004B2059"/>
    <w:pPr>
      <w:jc w:val="center"/>
      <w:outlineLvl w:val="3"/>
    </w:pPr>
    <w:rPr>
      <w:rFonts w:eastAsia="Times New Roman"/>
      <w:b/>
      <w:lang w:eastAsia="pt-BR"/>
    </w:rPr>
  </w:style>
  <w:style w:type="paragraph" w:styleId="Ttulo5">
    <w:name w:val="heading 5"/>
    <w:basedOn w:val="Normal"/>
    <w:next w:val="Normal"/>
    <w:qFormat/>
    <w:rsid w:val="004B2059"/>
    <w:pPr>
      <w:jc w:val="center"/>
      <w:outlineLvl w:val="4"/>
    </w:pPr>
    <w:rPr>
      <w:rFonts w:eastAsia="Times New Roman"/>
      <w:b/>
      <w:sz w:val="28"/>
    </w:rPr>
  </w:style>
  <w:style w:type="paragraph" w:styleId="Ttulo6">
    <w:name w:val="heading 6"/>
    <w:basedOn w:val="Normal"/>
    <w:next w:val="Normal"/>
    <w:qFormat/>
    <w:rsid w:val="004B2059"/>
    <w:pPr>
      <w:jc w:val="center"/>
      <w:outlineLvl w:val="5"/>
    </w:pPr>
    <w:rPr>
      <w:rFonts w:eastAsia="Times New Roman"/>
      <w:b/>
      <w:sz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B644E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20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B20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B2059"/>
    <w:pPr>
      <w:jc w:val="both"/>
    </w:pPr>
    <w:rPr>
      <w:rFonts w:eastAsia="Times New Roman"/>
      <w:sz w:val="28"/>
      <w:lang w:eastAsia="pt-BR"/>
    </w:rPr>
  </w:style>
  <w:style w:type="paragraph" w:styleId="Recuodecorpodetexto">
    <w:name w:val="Body Text Indent"/>
    <w:basedOn w:val="Normal"/>
    <w:rsid w:val="004B2059"/>
    <w:pPr>
      <w:jc w:val="both"/>
    </w:pPr>
    <w:rPr>
      <w:rFonts w:ascii="Arial" w:eastAsia="Times New Roman" w:hAnsi="Arial"/>
      <w:sz w:val="22"/>
      <w:lang w:eastAsia="pt-BR"/>
    </w:rPr>
  </w:style>
  <w:style w:type="paragraph" w:styleId="Corpodetexto2">
    <w:name w:val="Body Text 2"/>
    <w:basedOn w:val="Normal"/>
    <w:rsid w:val="004B2059"/>
    <w:pPr>
      <w:jc w:val="both"/>
    </w:pPr>
    <w:rPr>
      <w:rFonts w:eastAsia="Times New Roman"/>
    </w:rPr>
  </w:style>
  <w:style w:type="paragraph" w:styleId="Corpodetexto3">
    <w:name w:val="Body Text 3"/>
    <w:basedOn w:val="Normal"/>
    <w:rsid w:val="004B2059"/>
    <w:pPr>
      <w:jc w:val="center"/>
    </w:pPr>
    <w:rPr>
      <w:rFonts w:ascii="Bookman Old Style" w:eastAsia="Times New Roman" w:hAnsi="Bookman Old Style"/>
      <w:sz w:val="40"/>
    </w:rPr>
  </w:style>
  <w:style w:type="paragraph" w:styleId="Recuodecorpodetexto3">
    <w:name w:val="Body Text Indent 3"/>
    <w:basedOn w:val="Normal"/>
    <w:rsid w:val="004B2059"/>
    <w:pPr>
      <w:ind w:left="360"/>
      <w:jc w:val="both"/>
    </w:pPr>
    <w:rPr>
      <w:rFonts w:eastAsia="Times New Roman"/>
    </w:rPr>
  </w:style>
  <w:style w:type="paragraph" w:styleId="NormalWeb">
    <w:name w:val="Normal (Web)"/>
    <w:basedOn w:val="Normal"/>
    <w:rsid w:val="0012710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semiHidden/>
    <w:rsid w:val="00033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2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1B644E"/>
    <w:rPr>
      <w:rFonts w:ascii="Calibri" w:eastAsia="Times New Roman" w:hAnsi="Calibri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rsid w:val="001B64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B644E"/>
    <w:rPr>
      <w:rFonts w:eastAsia="SimSun"/>
      <w:sz w:val="24"/>
      <w:szCs w:val="24"/>
      <w:lang w:eastAsia="zh-CN"/>
    </w:rPr>
  </w:style>
  <w:style w:type="paragraph" w:customStyle="1" w:styleId="NormalTexto">
    <w:name w:val="Normal.Texto"/>
    <w:rsid w:val="001B644E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customStyle="1" w:styleId="Corpodetexto21">
    <w:name w:val="Corpo de texto 21"/>
    <w:basedOn w:val="Normal"/>
    <w:rsid w:val="001B644E"/>
    <w:pPr>
      <w:tabs>
        <w:tab w:val="left" w:pos="4253"/>
      </w:tabs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PAR01">
    <w:name w:val="PAR01"/>
    <w:basedOn w:val="Normal"/>
    <w:rsid w:val="001B644E"/>
    <w:pPr>
      <w:tabs>
        <w:tab w:val="left" w:leader="dot" w:pos="14459"/>
      </w:tabs>
      <w:jc w:val="both"/>
    </w:pPr>
    <w:rPr>
      <w:rFonts w:eastAsia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644E"/>
    <w:pPr>
      <w:ind w:left="708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C369C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5D72-B159-4F82-86E9-99C90A6A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PLURIANUAL</vt:lpstr>
    </vt:vector>
  </TitlesOfParts>
  <Company>Middia Propaganda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PLURIANUAL</dc:title>
  <dc:creator>Luciana Gugelmin</dc:creator>
  <cp:lastModifiedBy>User</cp:lastModifiedBy>
  <cp:revision>17</cp:revision>
  <cp:lastPrinted>2015-03-06T11:44:00Z</cp:lastPrinted>
  <dcterms:created xsi:type="dcterms:W3CDTF">2014-12-11T10:22:00Z</dcterms:created>
  <dcterms:modified xsi:type="dcterms:W3CDTF">2015-03-06T11:56:00Z</dcterms:modified>
</cp:coreProperties>
</file>